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685" w:firstLineChars="155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榆林市第二中学优秀教案作业评选活动</w:t>
      </w:r>
    </w:p>
    <w:p>
      <w:pPr>
        <w:widowControl/>
        <w:shd w:val="clear" w:color="auto" w:fill="FFFFFF"/>
        <w:spacing w:line="360" w:lineRule="atLeast"/>
        <w:ind w:firstLine="685" w:firstLineChars="155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</w:rPr>
        <w:t>实施细则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试行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）</w:t>
      </w:r>
    </w:p>
    <w:bookmarkEnd w:id="0"/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为规范教案备写、作业批改，引导教师备写实用、特色教案，规范引导学生认真书写作业、教师及时批阅反馈作业情况，高效服务课堂教学，教务处特制订《榆林市第二中学教案作业评比展示活动实施细则》，具体安排如下： </w:t>
      </w:r>
    </w:p>
    <w:p>
      <w:pPr>
        <w:widowControl/>
        <w:shd w:val="clear" w:color="auto" w:fill="FFFFFF"/>
        <w:spacing w:line="360" w:lineRule="atLeast"/>
        <w:ind w:left="325" w:leftChars="155"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一、评选安排 </w:t>
      </w:r>
    </w:p>
    <w:p>
      <w:pPr>
        <w:widowControl/>
        <w:shd w:val="clear" w:color="auto" w:fill="FFFFFF"/>
        <w:spacing w:line="360" w:lineRule="atLeast"/>
        <w:ind w:firstLine="685" w:firstLineChars="254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 1.参评教案作业范围： 高一、高二年级学期教案和作业。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 2.参评对象：各教研组根据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检查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量化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总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分数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从高到低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按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教研组人数20%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比例入围的优秀教案和科任教师推推荐的各班的一本优秀作业。</w:t>
      </w:r>
    </w:p>
    <w:p>
      <w:pPr>
        <w:widowControl/>
        <w:shd w:val="clear" w:color="auto" w:fill="FFFFFF"/>
        <w:spacing w:line="360" w:lineRule="atLeast"/>
        <w:ind w:left="325" w:leftChars="155" w:firstLine="540" w:firstLineChars="200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3.组别划分</w:t>
      </w:r>
    </w:p>
    <w:p>
      <w:pPr>
        <w:widowControl/>
        <w:shd w:val="clear" w:color="auto" w:fill="FFFFFF"/>
        <w:spacing w:line="360" w:lineRule="atLeast"/>
        <w:ind w:left="325" w:leftChars="155" w:firstLine="540" w:firstLineChars="200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语文、数学、英语为一组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物理、化学、政治、历史、地理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生物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为二组；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音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体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美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信为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组 。</w:t>
      </w:r>
    </w:p>
    <w:p>
      <w:pPr>
        <w:widowControl/>
        <w:shd w:val="clear" w:color="auto" w:fill="FFFFFF"/>
        <w:spacing w:line="360" w:lineRule="atLeast"/>
        <w:ind w:left="325" w:leftChars="155"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3.评选时间：每学期第19周星期三。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tLeast"/>
        <w:ind w:left="325" w:leftChars="155"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组织领导  </w:t>
      </w:r>
    </w:p>
    <w:p>
      <w:pPr>
        <w:widowControl/>
        <w:shd w:val="clear" w:color="auto" w:fill="FFFFFF"/>
        <w:tabs>
          <w:tab w:val="left" w:pos="0"/>
          <w:tab w:val="left" w:pos="630"/>
        </w:tabs>
        <w:spacing w:line="360" w:lineRule="atLeast"/>
        <w:ind w:left="5" w:firstLine="834" w:firstLineChars="309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为加强深入推行优秀教案评选活动的领导，保证活动顺利开展，并取得成效，特成立榆林市第二中学“优秀教案作业评选”评审小组：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组  长：王世英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副组长：刘东华、常林、陈晨、张旭斌、武贺飞  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540" w:firstLineChars="200"/>
        <w:jc w:val="left"/>
        <w:rPr>
          <w:rFonts w:hint="default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成  员：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中层领导、教研组长</w:t>
      </w:r>
    </w:p>
    <w:p>
      <w:pPr>
        <w:widowControl/>
        <w:shd w:val="clear" w:color="auto" w:fill="FFFFFF"/>
        <w:spacing w:line="360" w:lineRule="atLeast"/>
        <w:ind w:left="325" w:leftChars="155"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三、基本要求  </w:t>
      </w:r>
    </w:p>
    <w:p>
      <w:pPr>
        <w:widowControl/>
        <w:numPr>
          <w:ilvl w:val="0"/>
          <w:numId w:val="2"/>
        </w:numPr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目标要求  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体现课堂教学全面育人功能。  教案能够引领任课教师在课堂教学中，跟进目标，以学定教、优化导学，以学评教、全面育人；能够引领教师更好地培养学生的兴趣、习惯和学习思维能力。  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0"/>
          <w:tab w:val="clear" w:pos="312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体现教师精心备课、上课和作业教学水平。  教师备课，做到：备写规范；书写漂亮，设计美观，教学目标明确；重难点把握精准；课时安排合理；设计理念先进等，精心编制教学祥案。着力优化教学设计：导入新课、教学问题（活动）、预设目标、教法学法、课堂小结、巩固训练、拓展性资源、作业布置、评价检测、教学反思等。  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内容要求 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1.体例要素：课题、课时、课型、备课者、模式、教具、目标、过程、板书、反思、课件等。  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2.重点内容 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①精确导向。即教学目标具有科学性、层次性、具体性，呈现为重点、难点、知识点、能力点、教育点、探究点、训练点、考试点、易错点、易混点和拓展点等。 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②精彩导讲。即教师精讲具有科学性、趣味性、激励性，着力做好导入语、组织语、设问语、讲解语、总结语、整合语、提炼语、故事语、过渡语、小结语、评价语、作业教学语等。 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③精心导学。即教学活动（问题）设计具有系统性、创新性、普及性，重点优化导入、读、讲、练、评流程，优化导学活动（问题）实施、优化课程资源与条件的介入，优化建构与巩固，优化探索与拓展，优化反馈与评价等。  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④精致导练。即题目组合具有典型性、层次性、适量性，全面优化教学素材、案例、例题、训练题、检测题、作业题、预习题、实践性题目等，既要与教学目标高度一致，又能分层施教，分类推进，“减负”普惠。  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四、评比时间安排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1.准备： 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教案：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教务处根据学期教案检查量化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总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分数，从高到低，按照教研组人数的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%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四舍五入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入围参评教案，于评选当日下午第5节课前交到行政楼一楼中会议室。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作业：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各科任教师根据所任班级，推荐优秀作业1本/班和优秀纠错本1本/班，语文和英语另各推荐优秀作文1本/班。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科任教师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于评选当日下午第5节课前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将推荐作业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交到行政楼一楼中会议室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指导位置，未按时交作业按照放弃评选对待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。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2.评选：下午第七节各位评委行政楼一楼中会议室对入围教案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和作业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进行评审，教务处根据评审组打分情况进行汇总 。第二天下午放学前公布教案评比结果。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五、具体实施步骤</w:t>
      </w:r>
    </w:p>
    <w:p>
      <w:pPr>
        <w:widowControl/>
        <w:shd w:val="clear" w:color="auto" w:fill="FFFFFF"/>
        <w:spacing w:line="360" w:lineRule="atLeast"/>
        <w:ind w:firstLine="540" w:firstLineChars="200"/>
        <w:jc w:val="left"/>
        <w:rPr>
          <w:rFonts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1.教研组长、备课组长等检查人员对教案、作业检查情况进行详细记录，每次检查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推荐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的优秀作业的科任教师加0.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分/本，检查完后将检查记录交教务处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登记、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存档。</w:t>
      </w:r>
    </w:p>
    <w:p>
      <w:pPr>
        <w:widowControl/>
        <w:shd w:val="clear" w:color="auto" w:fill="FFFFFF"/>
        <w:spacing w:line="360" w:lineRule="atLeast"/>
        <w:ind w:firstLine="540" w:firstLineChars="200"/>
        <w:jc w:val="left"/>
        <w:rPr>
          <w:rFonts w:hint="default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2.期末教务处根据学期教案检查量化分数，从高到低，按照教研组人数的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%入围参评教案，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凡入围参评优秀教案科任教师加1分；经评审组根据量化细则打分再合议后将入围的50%教案评为学期优秀教案，被评为学期优秀教案的科任教师加2分。</w:t>
      </w:r>
    </w:p>
    <w:p>
      <w:pPr>
        <w:widowControl/>
        <w:shd w:val="clear" w:color="auto" w:fill="FFFFFF"/>
        <w:spacing w:line="360" w:lineRule="atLeast"/>
        <w:ind w:firstLine="540" w:firstLineChars="200"/>
        <w:jc w:val="left"/>
        <w:rPr>
          <w:rFonts w:hint="default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3.各科任教师根据所任班级，推荐优秀作业1本/班和优秀纠错本1本/班，语文和英语另各推荐优秀作文1本/班。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评审组经查阅作业数量合适、书写漂亮、批阅认真、方法指导合理等特色作业评为优秀作业，各教研组评选5本优秀作业，凡被评为学期优秀作业的学生学校给予一定的物质奖励，所涉及的科任教师加1分/本（上限为3分）。</w:t>
      </w:r>
    </w:p>
    <w:p>
      <w:pPr>
        <w:widowControl/>
        <w:shd w:val="clear" w:color="auto" w:fill="FFFFFF"/>
        <w:tabs>
          <w:tab w:val="left" w:pos="0"/>
        </w:tabs>
        <w:spacing w:line="360" w:lineRule="atLeast"/>
        <w:ind w:firstLine="540" w:firstLineChars="200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.在学校评选活动中评出的优秀教案，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优秀作业科任教师加分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计入个人教学实绩考核，对表现较差的备课组、备课人，给予指导或批评。  </w:t>
      </w:r>
    </w:p>
    <w:p>
      <w:pPr>
        <w:widowControl/>
        <w:shd w:val="clear" w:color="auto" w:fill="FFFFFF"/>
        <w:spacing w:line="360" w:lineRule="atLeast"/>
        <w:ind w:firstLine="810" w:firstLineChars="300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六、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教案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评分细则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教案评比采用百分制，满分100分，按评比细则进行逐项打分。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1．教案格式规范，环节齐全，能体现教学全过程，对课堂教学有很好的指导作用，要有必要的板书设计和课后反思。（15分）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2．有鲜明的学科特色，有一定的创新性。（10分）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3．教案要新颖，特别在教学内容、方法、手段等方面要体现对学生学法的指导，体现传授知识的科学性、系统性，体现教学方法的灵活性和多样化。（20分）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4.教案更新及时，特别对教学内容、方法、手段等方面进行更新，以体现学科发展的方向，体现因材施教（15分）；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5.教学目的明确，重点、难点突出，教材分析透彻，语言准确，切合学生实际。（15分）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6.教案能体现能力培养，要有利于培养学生的创新精神和求异思维。（15分）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> 7．教学过程的设计符合学生认知规律，能体现师生互动的活动空间，突出以学生为主体，探究性学习的方式。（10分）</w:t>
      </w:r>
    </w:p>
    <w:p>
      <w:pPr>
        <w:widowControl/>
        <w:shd w:val="clear" w:color="auto" w:fill="FFFFFF"/>
        <w:spacing w:line="360" w:lineRule="atLeast"/>
        <w:ind w:firstLine="418" w:firstLineChars="155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具体教案量化细则见附表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                  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360" w:lineRule="atLeast"/>
        <w:ind w:firstLine="5267" w:firstLineChars="1951"/>
        <w:jc w:val="left"/>
        <w:rPr>
          <w:rFonts w:hint="default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榆林市第二中学</w:t>
      </w: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  <w:t>2019年5月</w:t>
      </w: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60" w:lineRule="atLeast"/>
        <w:ind w:firstLine="5537" w:firstLineChars="2051"/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榆林市第二中学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优秀</w:t>
      </w:r>
      <w:r>
        <w:rPr>
          <w:rFonts w:hint="eastAsia" w:ascii="黑体" w:hAnsi="黑体" w:eastAsia="黑体" w:cs="Times New Roman"/>
          <w:sz w:val="36"/>
          <w:szCs w:val="36"/>
        </w:rPr>
        <w:t>教案检查评分表</w:t>
      </w:r>
    </w:p>
    <w:tbl>
      <w:tblPr>
        <w:tblStyle w:val="2"/>
        <w:tblpPr w:leftFromText="180" w:rightFromText="180" w:vertAnchor="text" w:horzAnchor="page" w:tblpX="1703" w:tblpY="249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56"/>
        <w:gridCol w:w="1063"/>
        <w:gridCol w:w="1315"/>
        <w:gridCol w:w="747"/>
        <w:gridCol w:w="1305"/>
        <w:gridCol w:w="64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学科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年级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时间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评价项目</w:t>
            </w: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     基本要求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规范设计</w:t>
            </w: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tabs>
                <w:tab w:val="left" w:pos="5572"/>
              </w:tabs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教案格式规范，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每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教案的末页右下角处需备课组长、年级教务主任签字，并注有时间。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ab/>
            </w:r>
          </w:p>
        </w:tc>
        <w:tc>
          <w:tcPr>
            <w:tcW w:w="12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设计特色</w:t>
            </w: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有鲜明的学科特色，有一定的创新性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教学内容、方法、手段等方面要体现对学生学法的指导，体现传授知识的科学性、系统性，体现教学方法的灵活性和多样化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教学内容、方法、手段等方面进行更新，以体现学科发展的方向，体现因材施教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符合学生认知规律，能体现师生互动的活动空间，突出以学生为主体，探究性学习的方式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教学目的明确，重点、难点突出，教材分析透彻，语言准确，切合学生实际。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教案能体现能力培养，要有利于培养学生的创新精神和求异思维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2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板书设计</w:t>
            </w: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板书设计要规范，符合学科特点。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过程设计</w:t>
            </w: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教学目标具有科学性、层次性、具体性，呈现为重点、难点、知识点、能力点、教育点、探究点、训练点、考试点、易错点、易混点和拓展点等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教师精讲具有科学性、趣味性、激励性，着力做好导入语、组织语、设问语、讲解语、总结语、整合语、提炼语、故事语、过渡语、小结语、评价语、作业教学语等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教学活动（问题）设计具有系统性、创新性、普及性，重点优化导入、读、讲、练、评流程，优化导学活动（问题）实施、优化课程资源与条件的介入，优化建构与巩固，优化探索与拓展，优化反馈与评价等。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6235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题目组合具有典型性、层次性、适量性，全面优化教学素材、案例、例题、训练题、检测题、作业题、预习题、实践性题目等，既要与教学目标高度一致，又能分层施教，分类推进，“减负”普惠。  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00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综合得分（百分制）：</w:t>
            </w:r>
          </w:p>
        </w:tc>
      </w:tr>
    </w:tbl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评审人员</w:t>
      </w:r>
      <w:r>
        <w:rPr>
          <w:rFonts w:hint="eastAsia"/>
          <w:sz w:val="24"/>
          <w:szCs w:val="24"/>
        </w:rPr>
        <w:t>：</w:t>
      </w:r>
    </w:p>
    <w:tbl>
      <w:tblPr>
        <w:tblStyle w:val="3"/>
        <w:tblW w:w="7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28"/>
        <w:gridCol w:w="729"/>
        <w:gridCol w:w="1006"/>
        <w:gridCol w:w="352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督查</w:t>
            </w:r>
          </w:p>
        </w:tc>
        <w:tc>
          <w:tcPr>
            <w:tcW w:w="728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巡查</w:t>
            </w: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组别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检查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  <w:tc>
          <w:tcPr>
            <w:tcW w:w="3527" w:type="dxa"/>
            <w:vAlign w:val="center"/>
          </w:tcPr>
          <w:p>
            <w:pPr>
              <w:spacing w:line="120" w:lineRule="auto"/>
              <w:ind w:firstLine="630" w:firstLineChars="3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组员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王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世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英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刘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东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华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</w:t>
            </w:r>
          </w:p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spacing w:line="120" w:lineRule="auto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武贺飞</w:t>
            </w:r>
          </w:p>
        </w:tc>
        <w:tc>
          <w:tcPr>
            <w:tcW w:w="3527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白治国 田博 白世强 康洁云 李亚伟  薛景山 李小飞 李国 李鹏   </w:t>
            </w:r>
            <w:r>
              <w:rPr>
                <w:rFonts w:hint="eastAsia"/>
                <w:sz w:val="21"/>
                <w:szCs w:val="21"/>
              </w:rPr>
              <w:t>王霞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陈竹林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蔡海燕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博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折红红</w:t>
            </w:r>
          </w:p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朱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鉑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霍军伟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张玉玉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葛仙波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二</w:t>
            </w:r>
          </w:p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林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restart"/>
            <w:vAlign w:val="center"/>
          </w:tcPr>
          <w:p>
            <w:pPr>
              <w:spacing w:line="120" w:lineRule="auto"/>
              <w:jc w:val="both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霍世平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霍军伟 张佑平 李景平 李增宏  赵维兵 王军 谢小梅 卢德洋 马宝瑞 李恒 折应军  </w:t>
            </w:r>
            <w:r>
              <w:rPr>
                <w:rFonts w:hint="eastAsia"/>
                <w:sz w:val="21"/>
                <w:szCs w:val="21"/>
              </w:rPr>
              <w:t>崔芮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李小娟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赵妮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班宏飞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黄鹏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霍军伟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张玉玉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葛仙波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博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折红红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朱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鉑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博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折红红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朱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鉑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27" w:type="dxa"/>
            <w:vMerge w:val="continue"/>
            <w:vAlign w:val="center"/>
          </w:tcPr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霍军伟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张玉玉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葛仙波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三组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张旭斌</w:t>
            </w:r>
          </w:p>
        </w:tc>
        <w:tc>
          <w:tcPr>
            <w:tcW w:w="3527" w:type="dxa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王万龙 高浩元 郝军军 闫冠英 蔺维晓 叶静 李笑言 </w:t>
            </w:r>
            <w:r>
              <w:rPr>
                <w:rFonts w:hint="eastAsia"/>
                <w:sz w:val="21"/>
                <w:szCs w:val="21"/>
              </w:rPr>
              <w:t>王胜阳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崔可 万招霞 秦希飞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梅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磊</w:t>
            </w: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default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FAB5D"/>
    <w:multiLevelType w:val="singleLevel"/>
    <w:tmpl w:val="BCEFAB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3BC977"/>
    <w:multiLevelType w:val="singleLevel"/>
    <w:tmpl w:val="E13BC9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1273FB4"/>
    <w:multiLevelType w:val="singleLevel"/>
    <w:tmpl w:val="71273FB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2E1D"/>
    <w:rsid w:val="001F53F7"/>
    <w:rsid w:val="003C06B2"/>
    <w:rsid w:val="004A45AB"/>
    <w:rsid w:val="00767249"/>
    <w:rsid w:val="02FD5649"/>
    <w:rsid w:val="0AAB605B"/>
    <w:rsid w:val="147A082B"/>
    <w:rsid w:val="16A32E1D"/>
    <w:rsid w:val="18292535"/>
    <w:rsid w:val="19E82BB7"/>
    <w:rsid w:val="1CB047A1"/>
    <w:rsid w:val="296E5EE0"/>
    <w:rsid w:val="34FD0BD1"/>
    <w:rsid w:val="3504386A"/>
    <w:rsid w:val="35255F9B"/>
    <w:rsid w:val="379A58D6"/>
    <w:rsid w:val="41AB463D"/>
    <w:rsid w:val="41EF4D35"/>
    <w:rsid w:val="44A55C8E"/>
    <w:rsid w:val="45265DB1"/>
    <w:rsid w:val="56150C89"/>
    <w:rsid w:val="5C3176BB"/>
    <w:rsid w:val="5F1B1669"/>
    <w:rsid w:val="63AE3183"/>
    <w:rsid w:val="63BE4E06"/>
    <w:rsid w:val="63D13BE5"/>
    <w:rsid w:val="645F072E"/>
    <w:rsid w:val="65750F3A"/>
    <w:rsid w:val="65F17C20"/>
    <w:rsid w:val="71AF462B"/>
    <w:rsid w:val="77F9772D"/>
    <w:rsid w:val="7BF27E39"/>
    <w:rsid w:val="7C7F4D9C"/>
    <w:rsid w:val="7E8C5EF5"/>
    <w:rsid w:val="7FC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1858</Characters>
  <Lines>15</Lines>
  <Paragraphs>4</Paragraphs>
  <TotalTime>4</TotalTime>
  <ScaleCrop>false</ScaleCrop>
  <LinksUpToDate>false</LinksUpToDate>
  <CharactersWithSpaces>2179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2019-05-21T23:39:00Z</dcterms:created>
  <dc:creator>Administrator</dc:creator>
  <cp:lastModifiedBy>Administrator</cp:lastModifiedBy>
  <dcterms:modified xsi:type="dcterms:W3CDTF">2019-06-24T00:30:41Z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